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1BC" w:rsidRDefault="00E741BC" w:rsidP="007E7DC8">
      <w:pPr>
        <w:jc w:val="both"/>
        <w:rPr>
          <w:rFonts w:ascii="Cambria" w:hAnsi="Cambria"/>
          <w:b/>
          <w:sz w:val="22"/>
          <w:u w:val="single"/>
        </w:rPr>
      </w:pPr>
      <w:r w:rsidRPr="00053DD7">
        <w:rPr>
          <w:rFonts w:ascii="Cambria" w:hAnsi="Cambria"/>
          <w:b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05pt;height:35.05pt">
            <v:imagedata r:id="rId8" o:title="CHANCE logo - BIG"/>
          </v:shape>
        </w:pict>
      </w:r>
    </w:p>
    <w:p w:rsidR="00E741BC" w:rsidRDefault="00E741BC" w:rsidP="007E7DC8">
      <w:pPr>
        <w:jc w:val="both"/>
        <w:rPr>
          <w:rFonts w:ascii="Cambria" w:hAnsi="Cambria"/>
          <w:b/>
          <w:sz w:val="22"/>
          <w:u w:val="single"/>
        </w:rPr>
      </w:pPr>
    </w:p>
    <w:p w:rsidR="00A24D7D" w:rsidRPr="00871A73" w:rsidRDefault="002D1EBA" w:rsidP="007E7DC8">
      <w:pPr>
        <w:jc w:val="both"/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u w:val="single"/>
          <w:lang w:val="sr-Cyrl-CS"/>
        </w:rPr>
        <w:t>Povoljna zdrava hrana – novi evropski projekat daje ŠANSU osobama ugroženim siromaštvom</w:t>
      </w:r>
      <w:r w:rsidR="0011725E" w:rsidRPr="00871A73">
        <w:rPr>
          <w:rFonts w:ascii="Cambria" w:hAnsi="Cambria"/>
          <w:b/>
          <w:sz w:val="22"/>
          <w:szCs w:val="22"/>
          <w:u w:val="single"/>
        </w:rPr>
        <w:t xml:space="preserve"> </w:t>
      </w:r>
    </w:p>
    <w:p w:rsidR="00A24D7D" w:rsidRPr="00871A73" w:rsidRDefault="00A24D7D" w:rsidP="007E7DC8">
      <w:pPr>
        <w:jc w:val="both"/>
        <w:rPr>
          <w:rFonts w:ascii="Cambria" w:hAnsi="Cambria"/>
          <w:sz w:val="22"/>
          <w:szCs w:val="22"/>
        </w:rPr>
      </w:pPr>
    </w:p>
    <w:p w:rsidR="00A24D7D" w:rsidRPr="00871A73" w:rsidRDefault="00E741BC" w:rsidP="007E7DC8">
      <w:pPr>
        <w:jc w:val="both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lang w:val="sr-Cyrl-CS"/>
        </w:rPr>
        <w:t xml:space="preserve">Brisel, </w:t>
      </w:r>
      <w:r>
        <w:rPr>
          <w:rFonts w:ascii="Cambria" w:hAnsi="Cambria"/>
          <w:i/>
          <w:sz w:val="22"/>
        </w:rPr>
        <w:t>23</w:t>
      </w:r>
      <w:bookmarkStart w:id="0" w:name="_GoBack"/>
      <w:bookmarkEnd w:id="0"/>
      <w:r w:rsidR="002D1EBA">
        <w:rPr>
          <w:rFonts w:ascii="Cambria" w:hAnsi="Cambria"/>
          <w:i/>
          <w:sz w:val="22"/>
          <w:lang w:val="sr-Cyrl-CS"/>
        </w:rPr>
        <w:t xml:space="preserve"> avgust 2011.</w:t>
      </w:r>
    </w:p>
    <w:p w:rsidR="00A24D7D" w:rsidRPr="00871A73" w:rsidRDefault="00A24D7D" w:rsidP="007E7DC8">
      <w:pPr>
        <w:jc w:val="both"/>
        <w:rPr>
          <w:rFonts w:ascii="Cambria" w:hAnsi="Cambria"/>
          <w:sz w:val="22"/>
          <w:szCs w:val="22"/>
        </w:rPr>
      </w:pPr>
    </w:p>
    <w:p w:rsidR="00AF7844" w:rsidRDefault="00B92653" w:rsidP="00C427B4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lang w:val="sr-Cyrl-CS"/>
        </w:rPr>
        <w:t>Život na ivici siromaštva</w:t>
      </w:r>
      <w:r w:rsidR="004F030D">
        <w:rPr>
          <w:rStyle w:val="FootnoteReference"/>
          <w:rFonts w:ascii="Cambria" w:hAnsi="Cambria"/>
          <w:sz w:val="22"/>
          <w:lang w:val="sr-Cyrl-CS"/>
        </w:rPr>
        <w:footnoteReference w:id="1"/>
      </w:r>
      <w:r>
        <w:rPr>
          <w:rFonts w:ascii="Cambria" w:hAnsi="Cambria"/>
          <w:sz w:val="22"/>
          <w:lang w:val="sr-Cyrl-CS"/>
        </w:rPr>
        <w:t xml:space="preserve"> ne samo da je povezan sa zemljama sa nerazvijenom ekonomijom, već često uzrokuje druge probleme kao što su zdravstvene poteškoće izazvane lošom ishranom.</w:t>
      </w:r>
      <w:r w:rsidR="00D87CBF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sr-Cyrl-CS"/>
        </w:rPr>
        <w:t>Postoji direktna veza između visine prihoda i kvaliteta ishrane – što je društveno-ekonomski status niži, to je ishrana manje uravnotežena.</w:t>
      </w:r>
      <w:r w:rsidR="00515047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sr-Cyrl-CS"/>
        </w:rPr>
        <w:t>Jedan od razloga za ovo jeste i to što osobe sa nižim primanjima često ne mogu da priušte dovoljno hrane sa odgovarajućom hranljivom vrednosti</w:t>
      </w:r>
      <w:r>
        <w:rPr>
          <w:rFonts w:ascii="Cambria" w:hAnsi="Cambria"/>
          <w:sz w:val="22"/>
          <w:vertAlign w:val="superscript"/>
          <w:lang w:val="sr-Cyrl-CS"/>
        </w:rPr>
        <w:t>1</w:t>
      </w:r>
      <w:r>
        <w:rPr>
          <w:rFonts w:ascii="Cambria" w:hAnsi="Cambria"/>
          <w:sz w:val="22"/>
          <w:lang w:val="sr-Cyrl-CS"/>
        </w:rPr>
        <w:t>.</w:t>
      </w:r>
      <w:r w:rsidR="007E7DC8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sr-Cyrl-CS"/>
        </w:rPr>
        <w:t>Nezadovoljavajuće navike u ishrani kod ovih osoba mogu se objasniti i nižim stepenom obrazovanja.</w:t>
      </w:r>
      <w:r w:rsidR="008B260A">
        <w:rPr>
          <w:rFonts w:ascii="Cambria" w:hAnsi="Cambria"/>
          <w:sz w:val="22"/>
          <w:szCs w:val="22"/>
        </w:rPr>
        <w:t xml:space="preserve"> </w:t>
      </w:r>
      <w:r w:rsidR="00E467BA">
        <w:rPr>
          <w:rFonts w:ascii="Cambria" w:hAnsi="Cambria"/>
          <w:sz w:val="22"/>
          <w:lang w:val="sr-Cyrl-CS"/>
        </w:rPr>
        <w:t>Obrazovanje je važno utoliko što pozitivno utiče na znanje o ishrani, zahvaljujući čemu se poboljšavaju navike u ishrani, npr. povećava se unos voća i povrća</w:t>
      </w:r>
      <w:r w:rsidR="00E467BA">
        <w:rPr>
          <w:rFonts w:ascii="Cambria" w:hAnsi="Cambria"/>
          <w:sz w:val="22"/>
          <w:vertAlign w:val="superscript"/>
          <w:lang w:val="sr-Cyrl-CS"/>
        </w:rPr>
        <w:t>2</w:t>
      </w:r>
      <w:r w:rsidR="00E467BA">
        <w:rPr>
          <w:rFonts w:ascii="Cambria" w:hAnsi="Cambria"/>
          <w:sz w:val="22"/>
          <w:lang w:val="sr-Cyrl-CS"/>
        </w:rPr>
        <w:t>.</w:t>
      </w:r>
      <w:r w:rsidR="001C5937">
        <w:rPr>
          <w:rFonts w:ascii="Cambria" w:hAnsi="Cambria"/>
          <w:sz w:val="22"/>
          <w:szCs w:val="22"/>
        </w:rPr>
        <w:t xml:space="preserve"> </w:t>
      </w:r>
      <w:r w:rsidR="00E467BA">
        <w:rPr>
          <w:rFonts w:ascii="Cambria" w:hAnsi="Cambria"/>
          <w:sz w:val="22"/>
          <w:lang w:val="sr-Cyrl-CS"/>
        </w:rPr>
        <w:t>Rezultat:</w:t>
      </w:r>
      <w:r w:rsidR="00582BB8">
        <w:rPr>
          <w:rFonts w:ascii="Cambria" w:hAnsi="Cambria"/>
          <w:sz w:val="22"/>
          <w:szCs w:val="22"/>
        </w:rPr>
        <w:t xml:space="preserve"> </w:t>
      </w:r>
      <w:r w:rsidR="00C427B4">
        <w:rPr>
          <w:rFonts w:ascii="Cambria" w:hAnsi="Cambria"/>
          <w:sz w:val="22"/>
          <w:lang w:val="sr-Cyrl-CS"/>
        </w:rPr>
        <w:t>veći rizik od problema koje izazivaju prekomerna telesna težina i gojaznost, kao što su dijabetes i kardiovaskularne bolesti, ali i nedostatka mikronutrijenata.</w:t>
      </w:r>
      <w:r w:rsidR="00582BB8">
        <w:rPr>
          <w:rFonts w:ascii="Cambria" w:hAnsi="Cambria"/>
          <w:sz w:val="22"/>
          <w:szCs w:val="22"/>
        </w:rPr>
        <w:t xml:space="preserve">  </w:t>
      </w:r>
      <w:r w:rsidR="00E467BA">
        <w:rPr>
          <w:rFonts w:ascii="Cambria" w:hAnsi="Cambria"/>
          <w:sz w:val="22"/>
          <w:lang w:val="sr-Cyrl-CS"/>
        </w:rPr>
        <w:t>U Evropi na ivici siromaštva živi 81 milion ljudi</w:t>
      </w:r>
      <w:r w:rsidR="00E467BA">
        <w:rPr>
          <w:rFonts w:ascii="Cambria" w:hAnsi="Cambria"/>
          <w:sz w:val="22"/>
          <w:vertAlign w:val="superscript"/>
          <w:lang w:val="sr-Cyrl-CS"/>
        </w:rPr>
        <w:t>3</w:t>
      </w:r>
      <w:r w:rsidR="00E467BA">
        <w:rPr>
          <w:rFonts w:ascii="Cambria" w:hAnsi="Cambria"/>
          <w:sz w:val="22"/>
          <w:lang w:val="sr-Cyrl-CS"/>
        </w:rPr>
        <w:t>.</w:t>
      </w:r>
      <w:r w:rsidR="00412F4C">
        <w:rPr>
          <w:rFonts w:ascii="Cambria" w:hAnsi="Cambria"/>
          <w:sz w:val="22"/>
          <w:szCs w:val="22"/>
        </w:rPr>
        <w:t xml:space="preserve"> </w:t>
      </w:r>
      <w:r w:rsidR="00E467BA">
        <w:rPr>
          <w:rFonts w:ascii="Cambria" w:hAnsi="Cambria"/>
          <w:sz w:val="22"/>
          <w:lang w:val="sr-Cyrl-CS"/>
        </w:rPr>
        <w:t>Veći rizik od oboljenja koja izaziva loša ishrana ne samo da povećava patnju pojedinca, već predstavlja i znatno opterećenje za društvo zbog velikih troškova zdravstvene nege i socijalne pomoći.</w:t>
      </w:r>
      <w:r w:rsidR="00AF7844">
        <w:rPr>
          <w:rFonts w:ascii="Cambria" w:hAnsi="Cambria"/>
          <w:sz w:val="22"/>
          <w:szCs w:val="22"/>
        </w:rPr>
        <w:t xml:space="preserve">  </w:t>
      </w:r>
    </w:p>
    <w:p w:rsidR="00B3218A" w:rsidRDefault="00B3218A" w:rsidP="00626F54">
      <w:pPr>
        <w:jc w:val="both"/>
        <w:rPr>
          <w:rFonts w:ascii="Cambria" w:hAnsi="Cambria"/>
          <w:sz w:val="22"/>
          <w:szCs w:val="22"/>
        </w:rPr>
      </w:pPr>
    </w:p>
    <w:p w:rsidR="00720ACB" w:rsidRDefault="00C427B4" w:rsidP="00C427B4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lang w:val="sr-Cyrl-CS"/>
        </w:rPr>
        <w:t>U okviru projekta CHANCE, koji finansira Evropska komisija, istraživači i partneri iz prehrambene industrije sarađivaće na razvoju ukusne, povoljne i zdrave hrane kako bi se sprečili problemi u ishrani koji se najčešće javljaju kod osoba ugroženih siromaštvom.</w:t>
      </w:r>
      <w:r w:rsidR="003D31B1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sr-Cyrl-CS"/>
        </w:rPr>
        <w:t xml:space="preserve">Da bi hrana postala dostupna osobama sa nižim primanjima, u okviru projekta CHANCE će se istraživati jeftine tehnologije i sastojci, kao što su </w:t>
      </w:r>
      <w:r>
        <w:rPr>
          <w:rStyle w:val="hps"/>
          <w:lang w:val="sr-Cyrl-CS"/>
        </w:rPr>
        <w:t>nusproizvodi bogati vlaknima koji se dobijaju u procesu proizvodnje voćnih sokova, kao i drugi derivati koji se dobijaju obradom hrane</w:t>
      </w:r>
      <w:r>
        <w:rPr>
          <w:rFonts w:ascii="Cambria" w:hAnsi="Cambria"/>
          <w:sz w:val="22"/>
          <w:lang w:val="sr-Cyrl-CS"/>
        </w:rPr>
        <w:t>.</w:t>
      </w:r>
      <w:r w:rsidR="00973BA5" w:rsidRPr="00933014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sr-Cyrl-CS"/>
        </w:rPr>
        <w:t>Razvoj ovih novih prehrambenih proizvoda iziskuje tehničko znanje.</w:t>
      </w:r>
      <w:r w:rsidR="00AA221F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sr-Cyrl-CS"/>
        </w:rPr>
        <w:t>Međutim, podjednako je važno upoznati se sa načinom života i potrebama ljudi ugroženih siromaštvom.</w:t>
      </w:r>
      <w:r w:rsidR="002E2B41">
        <w:rPr>
          <w:rFonts w:ascii="Cambria" w:hAnsi="Cambria"/>
          <w:sz w:val="22"/>
          <w:szCs w:val="22"/>
        </w:rPr>
        <w:t xml:space="preserve"> </w:t>
      </w:r>
    </w:p>
    <w:p w:rsidR="00720ACB" w:rsidRDefault="00720ACB" w:rsidP="000642D8">
      <w:pPr>
        <w:jc w:val="both"/>
        <w:rPr>
          <w:rFonts w:ascii="Cambria" w:hAnsi="Cambria"/>
          <w:sz w:val="22"/>
          <w:szCs w:val="22"/>
        </w:rPr>
      </w:pPr>
    </w:p>
    <w:p w:rsidR="002E2B41" w:rsidRDefault="00C427B4" w:rsidP="00912BD7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lang w:val="sr-Cyrl-CS"/>
        </w:rPr>
        <w:t>Statistički podaci organizacije Eurostat ukazuju na to da su žene i starije osobe dve najugroženije grupe, ali istraživači koji učestvuju u projektu CHANCE nameravaju da detaljnije prouče koje su najznačajnije grupe koje žive na ivici siromaštva u Evropi.</w:t>
      </w:r>
      <w:r w:rsidR="00FE1E26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sr-Cyrl-CS"/>
        </w:rPr>
        <w:t>Kada te grupe budu identifikovane, treba odgovoriti na sledeća pitanja:</w:t>
      </w:r>
      <w:r w:rsidR="0069715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sr-Cyrl-CS"/>
        </w:rPr>
        <w:t>Kako se hrane pripadnici tih grupa?</w:t>
      </w:r>
      <w:r w:rsidR="0069715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sr-Cyrl-CS"/>
        </w:rPr>
        <w:t>Da li su glavni problem prekomerna težina i gojaznost ili ljudi imaju zdravstvenih poteškoća zbog nedovoljnog unosa mikronutrijenata poput gvožđa i vitamina B12?</w:t>
      </w:r>
      <w:r w:rsidR="00AA221F">
        <w:rPr>
          <w:rFonts w:ascii="Cambria" w:hAnsi="Cambria"/>
          <w:sz w:val="22"/>
          <w:szCs w:val="22"/>
        </w:rPr>
        <w:t xml:space="preserve"> </w:t>
      </w:r>
      <w:r w:rsidR="00912BD7">
        <w:rPr>
          <w:rFonts w:ascii="Cambria" w:hAnsi="Cambria"/>
          <w:sz w:val="22"/>
          <w:lang w:val="sr-Cyrl-CS"/>
        </w:rPr>
        <w:t>Da bi se došlo do odgovora na ova pitanja, istraživači koji rade na projektu CHANCE pregledaće naučnu literaturu, podeliti upitnike o navikama u ishrani, meriti težinu, visinu i obim struka pripadnika ovih grupa i proceniti njihov nutritivni status i zdravstveno stanje.</w:t>
      </w:r>
      <w:r w:rsidR="00416FC5">
        <w:rPr>
          <w:rFonts w:ascii="Cambria" w:hAnsi="Cambria"/>
          <w:sz w:val="22"/>
          <w:szCs w:val="22"/>
        </w:rPr>
        <w:t xml:space="preserve">  </w:t>
      </w:r>
      <w:r w:rsidR="00697152">
        <w:rPr>
          <w:rFonts w:ascii="Cambria" w:hAnsi="Cambria"/>
          <w:sz w:val="22"/>
          <w:szCs w:val="22"/>
        </w:rPr>
        <w:t xml:space="preserve">    </w:t>
      </w:r>
    </w:p>
    <w:p w:rsidR="002E2B41" w:rsidRDefault="002E2B41" w:rsidP="000642D8">
      <w:pPr>
        <w:jc w:val="both"/>
        <w:rPr>
          <w:rFonts w:ascii="Cambria" w:hAnsi="Cambria"/>
          <w:sz w:val="22"/>
          <w:szCs w:val="22"/>
        </w:rPr>
      </w:pPr>
    </w:p>
    <w:p w:rsidR="0085010C" w:rsidRDefault="00DA7CDA" w:rsidP="00DA7CDA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lang w:val="sr-Cyrl-CS"/>
        </w:rPr>
        <w:t>Pored toga, CHANCE istraživači će proučavati pojave koje pripadnici identifikovane rizične grupe smatraju preprekama za zdravu ishranu, kao i pojave koje prodavci na malo, zaposleni u prehrambenoj industriji i drugi učesnici u lancu snabdevanja hranom vide kao razloge zbog kojih pripadnici ovih grupa ne koriste hranljive namirnice.</w:t>
      </w:r>
      <w:r w:rsidR="005B646C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sr-Cyrl-CS"/>
        </w:rPr>
        <w:t xml:space="preserve">Na osnovu dobijenih podataka, partneri iz oblasti obrade hrane koji rade na CHANCE </w:t>
      </w:r>
      <w:r>
        <w:rPr>
          <w:rFonts w:ascii="Cambria" w:hAnsi="Cambria"/>
          <w:sz w:val="22"/>
          <w:lang w:val="sr-Cyrl-CS"/>
        </w:rPr>
        <w:lastRenderedPageBreak/>
        <w:t>projektu moći će da razviju zdrave prehrambene proizvode koje bi pripadnici ovih grupa zaista i kupovali.</w:t>
      </w:r>
      <w:r w:rsidR="003739F5">
        <w:rPr>
          <w:rFonts w:ascii="Cambria" w:hAnsi="Cambria"/>
          <w:sz w:val="22"/>
          <w:szCs w:val="22"/>
        </w:rPr>
        <w:t xml:space="preserve"> </w:t>
      </w:r>
      <w:r w:rsidR="00CD6B97">
        <w:rPr>
          <w:rFonts w:ascii="Cambria" w:hAnsi="Cambria"/>
          <w:sz w:val="22"/>
          <w:szCs w:val="22"/>
        </w:rPr>
        <w:t xml:space="preserve"> </w:t>
      </w:r>
    </w:p>
    <w:p w:rsidR="00463996" w:rsidRDefault="00463996" w:rsidP="000642D8">
      <w:pPr>
        <w:jc w:val="both"/>
        <w:rPr>
          <w:rFonts w:ascii="Cambria" w:hAnsi="Cambria"/>
          <w:sz w:val="22"/>
          <w:szCs w:val="22"/>
        </w:rPr>
      </w:pPr>
    </w:p>
    <w:p w:rsidR="00463996" w:rsidRDefault="00DA7CDA" w:rsidP="006F27DA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lang w:val="sr-Cyrl-CS"/>
        </w:rPr>
        <w:t>Važan cilj projekta CHANCE jeste da se kreatori politike, udruženja potrošača, naučnici, proizvođači hrane i pića, kao i stručnjaci na polju zdravstvene i socijalne zaštite, informišu o projektu CHANCE i njegovim rezultatima.</w:t>
      </w:r>
      <w:r w:rsidR="00EF48A8">
        <w:rPr>
          <w:rFonts w:ascii="Cambria" w:hAnsi="Cambria"/>
          <w:sz w:val="22"/>
          <w:szCs w:val="22"/>
        </w:rPr>
        <w:t xml:space="preserve"> </w:t>
      </w:r>
      <w:r w:rsidR="006F27DA">
        <w:rPr>
          <w:rFonts w:ascii="Cambria" w:hAnsi="Cambria"/>
          <w:sz w:val="22"/>
          <w:lang w:val="sr-Cyrl-CS"/>
        </w:rPr>
        <w:t>Da bi ove zainteresovane strane bile obaveštene o projektu, Evropski savet za informacije o hrani (European Food Information Council – EUFIC) na sebe je preuzeo zaduženja vezana za distribuciju materijala i komunikaciju u okviru projekta.</w:t>
      </w:r>
      <w:r w:rsidR="00EF48A8">
        <w:rPr>
          <w:rFonts w:ascii="Cambria" w:hAnsi="Cambria"/>
          <w:sz w:val="22"/>
          <w:szCs w:val="22"/>
        </w:rPr>
        <w:t xml:space="preserve"> </w:t>
      </w:r>
    </w:p>
    <w:p w:rsidR="00CD6B97" w:rsidRDefault="00CD6B97" w:rsidP="007E7DC8">
      <w:pPr>
        <w:jc w:val="both"/>
        <w:rPr>
          <w:rFonts w:ascii="Cambria" w:hAnsi="Cambria"/>
          <w:sz w:val="22"/>
          <w:szCs w:val="22"/>
        </w:rPr>
      </w:pPr>
    </w:p>
    <w:p w:rsidR="004F0C62" w:rsidRDefault="006F27DA" w:rsidP="006F27DA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lang w:val="sr-Cyrl-CS"/>
        </w:rPr>
        <w:t>Koordinator CHANCE konzorcijuma, profesor Francesco Capozzi sa Univerziteta u Bolonji, ukratko je opisao projekat na sledeći način:</w:t>
      </w:r>
      <w:r w:rsidR="004F0C6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sr-Cyrl-CS"/>
        </w:rPr>
        <w:t>„Uprkos činjenici da su najčešća oboljenja vezana za lošu ishranu uobičajenija među osobama sa nižim primanjima koje žive na ivici siromaštva, na razvoju jeftinijih prehrambenih proizvoda ne radi se u dovoljnoj meri.</w:t>
      </w:r>
      <w:r w:rsidR="004F0C6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sr-Cyrl-CS"/>
        </w:rPr>
        <w:t>Nadamo se da će učesnici projekta CHANCE pronaći način da snize troškove proizvodnje i bolje se upoznaju sa ovom konkretnom grupom potrošača kako bi stimulisali proizvodnju inovativnih prehrambenih proizvoda i učinili ih dostupnim i primamljivim ljudima kojima su ti proizvodi zaista potrebni.“</w:t>
      </w:r>
      <w:r w:rsidR="004F0C62">
        <w:rPr>
          <w:rFonts w:ascii="Cambria" w:hAnsi="Cambria"/>
          <w:sz w:val="22"/>
          <w:szCs w:val="22"/>
        </w:rPr>
        <w:t xml:space="preserve"> </w:t>
      </w:r>
    </w:p>
    <w:p w:rsidR="0085010C" w:rsidRDefault="0085010C" w:rsidP="00626F54">
      <w:pPr>
        <w:jc w:val="both"/>
        <w:rPr>
          <w:rFonts w:ascii="Cambria" w:hAnsi="Cambria"/>
          <w:sz w:val="22"/>
          <w:szCs w:val="22"/>
        </w:rPr>
      </w:pPr>
    </w:p>
    <w:p w:rsidR="00FD279C" w:rsidRDefault="006F27DA" w:rsidP="000642D8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lang w:val="sr-Cyrl-CS"/>
        </w:rPr>
        <w:t>Reference:</w:t>
      </w:r>
    </w:p>
    <w:p w:rsidR="001C5937" w:rsidRDefault="0020207B" w:rsidP="006F27DA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1. </w:t>
      </w:r>
      <w:r w:rsidR="006F27DA">
        <w:rPr>
          <w:rFonts w:ascii="Cambria" w:hAnsi="Cambria"/>
          <w:sz w:val="22"/>
          <w:lang w:val="sr-Cyrl-CS"/>
        </w:rPr>
        <w:t xml:space="preserve">Aggarwal A, </w:t>
      </w:r>
      <w:r w:rsidR="006F27DA">
        <w:rPr>
          <w:rFonts w:ascii="Cambria" w:hAnsi="Cambria"/>
          <w:i/>
          <w:sz w:val="22"/>
          <w:lang w:val="sr-Cyrl-CS"/>
        </w:rPr>
        <w:t>et al</w:t>
      </w:r>
      <w:r w:rsidR="006F27DA">
        <w:rPr>
          <w:rFonts w:ascii="Cambria" w:hAnsi="Cambria"/>
          <w:sz w:val="22"/>
          <w:lang w:val="sr-Cyrl-CS"/>
        </w:rPr>
        <w:t>. (2011).</w:t>
      </w:r>
      <w:r w:rsidR="00F47FE6" w:rsidRPr="00F47FE6">
        <w:rPr>
          <w:rFonts w:ascii="Cambria" w:hAnsi="Cambria"/>
          <w:sz w:val="22"/>
          <w:szCs w:val="22"/>
        </w:rPr>
        <w:t xml:space="preserve"> </w:t>
      </w:r>
      <w:r w:rsidR="006F27DA">
        <w:rPr>
          <w:rFonts w:ascii="Cambria" w:hAnsi="Cambria"/>
          <w:sz w:val="22"/>
          <w:lang w:val="sr-Cyrl-CS"/>
        </w:rPr>
        <w:t>Does diet cost mediate the relation between socioeconomic position and diet quality?</w:t>
      </w:r>
      <w:r w:rsidR="00F47FE6" w:rsidRPr="00F47FE6">
        <w:rPr>
          <w:rFonts w:ascii="Cambria" w:hAnsi="Cambria"/>
          <w:sz w:val="22"/>
          <w:szCs w:val="22"/>
        </w:rPr>
        <w:t xml:space="preserve"> </w:t>
      </w:r>
      <w:r w:rsidR="006F27DA">
        <w:rPr>
          <w:rFonts w:ascii="Cambria" w:hAnsi="Cambria"/>
          <w:i/>
          <w:sz w:val="22"/>
          <w:lang w:val="sr-Cyrl-CS"/>
        </w:rPr>
        <w:t>European Journal of Clinical Nutrition</w:t>
      </w:r>
      <w:r w:rsidR="006F27DA">
        <w:rPr>
          <w:rFonts w:ascii="Cambria" w:hAnsi="Cambria"/>
          <w:sz w:val="22"/>
          <w:lang w:val="sr-Cyrl-CS"/>
        </w:rPr>
        <w:t>:</w:t>
      </w:r>
      <w:r w:rsidR="001C5937">
        <w:rPr>
          <w:rFonts w:ascii="Cambria" w:hAnsi="Cambria"/>
          <w:sz w:val="22"/>
          <w:szCs w:val="22"/>
        </w:rPr>
        <w:t xml:space="preserve"> </w:t>
      </w:r>
      <w:r w:rsidR="006F27DA">
        <w:rPr>
          <w:rFonts w:ascii="Cambria" w:hAnsi="Cambria"/>
          <w:sz w:val="22"/>
          <w:lang w:val="sr-Cyrl-CS"/>
        </w:rPr>
        <w:t>advance online publication 11 May 2011.</w:t>
      </w:r>
    </w:p>
    <w:p w:rsidR="00A13B3B" w:rsidRDefault="006A7490" w:rsidP="006F27DA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</w:t>
      </w:r>
      <w:r w:rsidR="001C5937">
        <w:rPr>
          <w:rFonts w:ascii="Cambria" w:hAnsi="Cambria"/>
          <w:sz w:val="22"/>
          <w:szCs w:val="22"/>
        </w:rPr>
        <w:t>.</w:t>
      </w:r>
      <w:r w:rsidR="001C5937">
        <w:t xml:space="preserve"> </w:t>
      </w:r>
      <w:r w:rsidR="006F27DA">
        <w:rPr>
          <w:lang w:val="sr-Cyrl-CS"/>
        </w:rPr>
        <w:t xml:space="preserve">De </w:t>
      </w:r>
      <w:r w:rsidR="006F27DA">
        <w:rPr>
          <w:rFonts w:ascii="Cambria" w:hAnsi="Cambria"/>
          <w:sz w:val="22"/>
          <w:lang w:val="sr-Cyrl-CS"/>
        </w:rPr>
        <w:t xml:space="preserve">Vriendt T, </w:t>
      </w:r>
      <w:r w:rsidR="006F27DA">
        <w:rPr>
          <w:rFonts w:ascii="Cambria" w:hAnsi="Cambria"/>
          <w:i/>
          <w:sz w:val="22"/>
          <w:lang w:val="sr-Cyrl-CS"/>
        </w:rPr>
        <w:t>et al.</w:t>
      </w:r>
      <w:r w:rsidR="006F27DA">
        <w:rPr>
          <w:rFonts w:ascii="Cambria" w:hAnsi="Cambria"/>
          <w:sz w:val="22"/>
          <w:lang w:val="sr-Cyrl-CS"/>
        </w:rPr>
        <w:t xml:space="preserve"> (2009).</w:t>
      </w:r>
      <w:r w:rsidR="001C5937">
        <w:rPr>
          <w:rFonts w:ascii="Cambria" w:hAnsi="Cambria"/>
          <w:sz w:val="22"/>
          <w:szCs w:val="22"/>
        </w:rPr>
        <w:t xml:space="preserve"> </w:t>
      </w:r>
      <w:r w:rsidR="006F27DA">
        <w:rPr>
          <w:rFonts w:ascii="Cambria" w:hAnsi="Cambria"/>
          <w:sz w:val="22"/>
          <w:lang w:val="sr-Cyrl-CS"/>
        </w:rPr>
        <w:t>Determinants of nutrition knowledge in young and middle-aged Belgian women and the association with their dietary behaviour.</w:t>
      </w:r>
      <w:r w:rsidR="001C5937" w:rsidRPr="001C5937">
        <w:rPr>
          <w:rFonts w:ascii="Cambria" w:hAnsi="Cambria"/>
          <w:sz w:val="22"/>
          <w:szCs w:val="22"/>
        </w:rPr>
        <w:t xml:space="preserve"> </w:t>
      </w:r>
      <w:r w:rsidR="006F27DA">
        <w:rPr>
          <w:rFonts w:ascii="Cambria" w:hAnsi="Cambria"/>
          <w:i/>
          <w:sz w:val="22"/>
          <w:lang w:val="sr-Cyrl-CS"/>
        </w:rPr>
        <w:t>Appetite</w:t>
      </w:r>
      <w:r w:rsidR="006F27DA">
        <w:rPr>
          <w:rFonts w:ascii="Cambria" w:hAnsi="Cambria"/>
          <w:sz w:val="22"/>
          <w:lang w:val="sr-Cyrl-CS"/>
        </w:rPr>
        <w:t xml:space="preserve"> 52:</w:t>
      </w:r>
      <w:r w:rsidR="001C5937">
        <w:rPr>
          <w:rFonts w:ascii="Cambria" w:hAnsi="Cambria"/>
          <w:sz w:val="22"/>
          <w:szCs w:val="22"/>
        </w:rPr>
        <w:t xml:space="preserve"> </w:t>
      </w:r>
      <w:r w:rsidR="001C5937" w:rsidRPr="001C5937">
        <w:rPr>
          <w:rFonts w:ascii="Cambria" w:hAnsi="Cambria"/>
          <w:sz w:val="22"/>
          <w:szCs w:val="22"/>
        </w:rPr>
        <w:t>788-792</w:t>
      </w:r>
    </w:p>
    <w:p w:rsidR="0020207B" w:rsidRPr="0020207B" w:rsidRDefault="006A7490" w:rsidP="003C7557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3</w:t>
      </w:r>
      <w:r w:rsidR="00A13B3B">
        <w:rPr>
          <w:rFonts w:ascii="Cambria" w:hAnsi="Cambria"/>
          <w:sz w:val="22"/>
          <w:szCs w:val="22"/>
        </w:rPr>
        <w:t xml:space="preserve">. </w:t>
      </w:r>
      <w:r w:rsidR="006F27DA">
        <w:rPr>
          <w:rFonts w:ascii="Cambria" w:hAnsi="Cambria"/>
          <w:sz w:val="22"/>
          <w:lang w:val="sr-Cyrl-CS"/>
        </w:rPr>
        <w:t>Eurostat (2010):</w:t>
      </w:r>
      <w:r w:rsidR="0020207B" w:rsidRPr="0020207B">
        <w:rPr>
          <w:rFonts w:ascii="Cambria" w:hAnsi="Cambria"/>
          <w:sz w:val="22"/>
          <w:szCs w:val="22"/>
        </w:rPr>
        <w:t xml:space="preserve"> </w:t>
      </w:r>
      <w:r w:rsidR="003C7557">
        <w:rPr>
          <w:rFonts w:ascii="Cambria" w:hAnsi="Cambria"/>
          <w:sz w:val="22"/>
          <w:lang w:val="sr-Cyrl-CS"/>
        </w:rPr>
        <w:t>Income and living conditions in Europe</w:t>
      </w:r>
      <w:r w:rsidR="0020207B" w:rsidRPr="0020207B">
        <w:rPr>
          <w:rFonts w:ascii="Cambria" w:hAnsi="Cambria"/>
          <w:bCs/>
          <w:sz w:val="22"/>
          <w:szCs w:val="22"/>
        </w:rPr>
        <w:t xml:space="preserve"> </w:t>
      </w:r>
    </w:p>
    <w:p w:rsidR="00FD279C" w:rsidRPr="0020207B" w:rsidRDefault="00FD279C" w:rsidP="000642D8">
      <w:pPr>
        <w:jc w:val="both"/>
        <w:rPr>
          <w:rFonts w:ascii="Cambria" w:hAnsi="Cambria"/>
          <w:sz w:val="22"/>
          <w:szCs w:val="22"/>
          <w:vertAlign w:val="superscript"/>
        </w:rPr>
      </w:pPr>
      <w:r w:rsidRPr="0020207B">
        <w:rPr>
          <w:rFonts w:ascii="Cambria" w:hAnsi="Cambria"/>
          <w:sz w:val="22"/>
          <w:szCs w:val="22"/>
          <w:vertAlign w:val="superscript"/>
        </w:rPr>
        <w:t xml:space="preserve"> </w:t>
      </w:r>
    </w:p>
    <w:p w:rsidR="004F0C62" w:rsidRPr="004F0C62" w:rsidRDefault="003C7557" w:rsidP="000642D8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lang w:val="sr-Cyrl-CS"/>
        </w:rPr>
        <w:t>Napomene uredniku:</w:t>
      </w:r>
    </w:p>
    <w:p w:rsidR="00FD279C" w:rsidRPr="006A7490" w:rsidRDefault="003C7557" w:rsidP="003C7557">
      <w:pPr>
        <w:rPr>
          <w:rFonts w:ascii="Cambria" w:hAnsi="Cambria"/>
          <w:sz w:val="22"/>
          <w:szCs w:val="22"/>
          <w:lang w:val="fr-FR"/>
        </w:rPr>
      </w:pPr>
      <w:r>
        <w:rPr>
          <w:rFonts w:ascii="Cambria" w:hAnsi="Cambria"/>
          <w:sz w:val="22"/>
          <w:lang w:val="sr-Cyrl-CS"/>
        </w:rPr>
        <w:t>CHANCE je multidisciplinarni konzorcijum koji se sastoji od 17 partnera iz 9 zemalja članica EU.</w:t>
      </w:r>
      <w:r w:rsidR="004F0C62" w:rsidRPr="006A7490">
        <w:rPr>
          <w:rFonts w:ascii="Cambria" w:hAnsi="Cambria"/>
          <w:sz w:val="22"/>
          <w:szCs w:val="22"/>
          <w:lang w:val="fr-FR"/>
        </w:rPr>
        <w:t xml:space="preserve"> </w:t>
      </w:r>
      <w:r>
        <w:rPr>
          <w:rFonts w:ascii="Cambria" w:hAnsi="Cambria"/>
          <w:sz w:val="22"/>
          <w:lang w:val="sr-Cyrl-CS"/>
        </w:rPr>
        <w:t>Deset univerziteta i istraživačkih instituta, kao i 5 malih i srednjih preduzeća (MSP) iz prehrambenog sektora, učestvuje u aktivnostima vezanim za istraživanje i razvoj tehnologije u okviru projekta.</w:t>
      </w:r>
      <w:r w:rsidR="004F0C62" w:rsidRPr="006A7490">
        <w:rPr>
          <w:rFonts w:ascii="Cambria" w:hAnsi="Cambria"/>
          <w:sz w:val="22"/>
          <w:szCs w:val="22"/>
          <w:lang w:val="fr-FR"/>
        </w:rPr>
        <w:t xml:space="preserve"> </w:t>
      </w:r>
      <w:r>
        <w:rPr>
          <w:rFonts w:ascii="Cambria" w:hAnsi="Cambria"/>
          <w:sz w:val="22"/>
          <w:lang w:val="sr-Cyrl-CS"/>
        </w:rPr>
        <w:t>EUFIC – Evropski savet za informacije o hrani i CEN – Evropski komitet za standardizaciju (European Committee for Standardization) učestvuju u konzorcijumu sa zadatkom da širu evropsku javnost informišu o projektu i njegovim rezultatima.</w:t>
      </w:r>
      <w:r w:rsidR="004F0C62" w:rsidRPr="006A7490">
        <w:rPr>
          <w:rFonts w:ascii="Cambria" w:hAnsi="Cambria"/>
          <w:sz w:val="22"/>
          <w:szCs w:val="22"/>
          <w:lang w:val="fr-FR"/>
        </w:rPr>
        <w:t xml:space="preserve"> </w:t>
      </w:r>
      <w:r>
        <w:rPr>
          <w:rFonts w:ascii="Cambria" w:hAnsi="Cambria"/>
          <w:sz w:val="22"/>
          <w:lang w:val="sr-Cyrl-CS"/>
        </w:rPr>
        <w:t>Koordinatori projekta su prof. Francesco Capozzi i prof. Alessandra Bordoni sa Univerziteta u Bolonji, Italija.</w:t>
      </w:r>
      <w:r w:rsidR="00FD279C" w:rsidRPr="006A7490">
        <w:rPr>
          <w:rFonts w:ascii="Cambria" w:hAnsi="Cambria"/>
          <w:sz w:val="22"/>
          <w:szCs w:val="22"/>
          <w:lang w:val="fr-FR"/>
        </w:rPr>
        <w:t xml:space="preserve"> </w:t>
      </w:r>
    </w:p>
    <w:p w:rsidR="004F0C62" w:rsidRPr="006A7490" w:rsidRDefault="004F0C62" w:rsidP="000642D8">
      <w:pPr>
        <w:jc w:val="both"/>
        <w:rPr>
          <w:rFonts w:ascii="Cambria" w:hAnsi="Cambria"/>
          <w:sz w:val="22"/>
          <w:szCs w:val="22"/>
          <w:lang w:val="fr-FR"/>
        </w:rPr>
      </w:pPr>
    </w:p>
    <w:p w:rsidR="004F0C62" w:rsidRPr="006A7490" w:rsidRDefault="003C7557" w:rsidP="000642D8">
      <w:pPr>
        <w:jc w:val="both"/>
        <w:rPr>
          <w:rFonts w:ascii="Cambria" w:hAnsi="Cambria"/>
          <w:sz w:val="22"/>
          <w:szCs w:val="22"/>
          <w:lang w:val="fr-FR"/>
        </w:rPr>
      </w:pPr>
      <w:r>
        <w:rPr>
          <w:rFonts w:ascii="Cambria" w:hAnsi="Cambria"/>
          <w:sz w:val="22"/>
          <w:lang w:val="sr-Cyrl-CS"/>
        </w:rPr>
        <w:t xml:space="preserve">Više informacija o projektu možete pronaći na adresi </w:t>
      </w:r>
      <w:hyperlink r:id="rId9" w:history="1">
        <w:r>
          <w:rPr>
            <w:rStyle w:val="Hyperlink"/>
            <w:rFonts w:ascii="Cambria" w:hAnsi="Cambria"/>
            <w:sz w:val="22"/>
            <w:lang w:val="sr-Cyrl-CS"/>
          </w:rPr>
          <w:t>www.chancefood.eu</w:t>
        </w:r>
      </w:hyperlink>
      <w:r>
        <w:rPr>
          <w:rFonts w:ascii="Cambria" w:hAnsi="Cambria"/>
          <w:sz w:val="22"/>
          <w:lang w:val="sr-Cyrl-CS"/>
        </w:rPr>
        <w:t xml:space="preserve"> ili se možete obratiti Cecilia-i Wanhainen na adresu </w:t>
      </w:r>
      <w:hyperlink r:id="rId10" w:history="1">
        <w:r>
          <w:rPr>
            <w:rStyle w:val="Hyperlink"/>
            <w:rFonts w:ascii="Cambria" w:hAnsi="Cambria"/>
            <w:sz w:val="22"/>
            <w:lang w:val="sr-Cyrl-CS"/>
          </w:rPr>
          <w:t>cecilia.wanhainen@eufic.org</w:t>
        </w:r>
      </w:hyperlink>
      <w:r>
        <w:rPr>
          <w:rFonts w:ascii="Cambria" w:hAnsi="Cambria"/>
          <w:sz w:val="22"/>
          <w:lang w:val="sr-Cyrl-CS"/>
        </w:rPr>
        <w:t xml:space="preserve"> ili na telefon +32 2 506 89 89.</w:t>
      </w:r>
      <w:r w:rsidR="004F0C62" w:rsidRPr="006A7490">
        <w:rPr>
          <w:rFonts w:ascii="Cambria" w:hAnsi="Cambria"/>
          <w:sz w:val="22"/>
          <w:szCs w:val="22"/>
          <w:lang w:val="fr-FR"/>
        </w:rPr>
        <w:t xml:space="preserve"> </w:t>
      </w:r>
    </w:p>
    <w:p w:rsidR="00A24D7D" w:rsidRPr="006A7490" w:rsidRDefault="00A24D7D" w:rsidP="000642D8">
      <w:pPr>
        <w:jc w:val="both"/>
        <w:rPr>
          <w:rFonts w:ascii="Cambria" w:hAnsi="Cambria"/>
          <w:sz w:val="22"/>
          <w:szCs w:val="22"/>
          <w:lang w:val="fr-FR"/>
        </w:rPr>
      </w:pPr>
    </w:p>
    <w:p w:rsidR="00827918" w:rsidRPr="004F030D" w:rsidRDefault="00827918" w:rsidP="000642D8">
      <w:pPr>
        <w:jc w:val="both"/>
        <w:rPr>
          <w:rFonts w:ascii="Cambria" w:hAnsi="Cambria"/>
          <w:sz w:val="18"/>
          <w:szCs w:val="18"/>
          <w:lang w:val="fr-BE"/>
        </w:rPr>
      </w:pPr>
    </w:p>
    <w:p w:rsidR="00827918" w:rsidRPr="006A7490" w:rsidRDefault="00827918" w:rsidP="000642D8">
      <w:pPr>
        <w:jc w:val="both"/>
        <w:rPr>
          <w:rFonts w:ascii="Cambria" w:hAnsi="Cambria"/>
          <w:sz w:val="22"/>
          <w:szCs w:val="22"/>
          <w:lang w:val="fr-FR"/>
        </w:rPr>
      </w:pPr>
    </w:p>
    <w:sectPr w:rsidR="00827918" w:rsidRPr="006A7490">
      <w:footnotePr>
        <w:numFmt w:val="chicago"/>
      </w:footnotePr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F92" w:rsidRDefault="00382F92">
      <w:r>
        <w:separator/>
      </w:r>
    </w:p>
  </w:endnote>
  <w:endnote w:type="continuationSeparator" w:id="0">
    <w:p w:rsidR="00382F92" w:rsidRDefault="00382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F92" w:rsidRDefault="00382F92">
      <w:r>
        <w:separator/>
      </w:r>
    </w:p>
  </w:footnote>
  <w:footnote w:type="continuationSeparator" w:id="0">
    <w:p w:rsidR="00382F92" w:rsidRDefault="00382F92">
      <w:r>
        <w:continuationSeparator/>
      </w:r>
    </w:p>
  </w:footnote>
  <w:footnote w:id="1">
    <w:p w:rsidR="004F030D" w:rsidRPr="004F030D" w:rsidRDefault="004F030D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mbria" w:hAnsi="Cambria"/>
          <w:sz w:val="18"/>
          <w:lang w:val="sr-Cyrl-CS"/>
        </w:rPr>
        <w:t>Osobe koje žive u domaćinstvima čiji je ekvivalentni dohodak niži od 60% prosečnog (ekvivalentnog) nacionalnog dohotka (Eurostat)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4D7D"/>
    <w:rsid w:val="00017570"/>
    <w:rsid w:val="000642D8"/>
    <w:rsid w:val="00064AE1"/>
    <w:rsid w:val="00064D14"/>
    <w:rsid w:val="000A45D4"/>
    <w:rsid w:val="000B7459"/>
    <w:rsid w:val="0011542B"/>
    <w:rsid w:val="0011725E"/>
    <w:rsid w:val="0012387B"/>
    <w:rsid w:val="001253B2"/>
    <w:rsid w:val="001671E1"/>
    <w:rsid w:val="00177F31"/>
    <w:rsid w:val="00192AAC"/>
    <w:rsid w:val="001A0A42"/>
    <w:rsid w:val="001B5D78"/>
    <w:rsid w:val="001C5937"/>
    <w:rsid w:val="001E01A4"/>
    <w:rsid w:val="001E0524"/>
    <w:rsid w:val="001E4574"/>
    <w:rsid w:val="0020207B"/>
    <w:rsid w:val="00217B42"/>
    <w:rsid w:val="00237A1D"/>
    <w:rsid w:val="002531B1"/>
    <w:rsid w:val="0028473C"/>
    <w:rsid w:val="002D1EBA"/>
    <w:rsid w:val="002D3A27"/>
    <w:rsid w:val="002D6DE1"/>
    <w:rsid w:val="002D7AE8"/>
    <w:rsid w:val="002E2B41"/>
    <w:rsid w:val="00357836"/>
    <w:rsid w:val="00357ECE"/>
    <w:rsid w:val="003650B6"/>
    <w:rsid w:val="003739F5"/>
    <w:rsid w:val="00374039"/>
    <w:rsid w:val="00374FEB"/>
    <w:rsid w:val="003754EC"/>
    <w:rsid w:val="00382F92"/>
    <w:rsid w:val="003C7557"/>
    <w:rsid w:val="003D31B1"/>
    <w:rsid w:val="003E1AE0"/>
    <w:rsid w:val="003E1C93"/>
    <w:rsid w:val="00412F4C"/>
    <w:rsid w:val="00416FC5"/>
    <w:rsid w:val="00433026"/>
    <w:rsid w:val="00463996"/>
    <w:rsid w:val="00496962"/>
    <w:rsid w:val="004B2012"/>
    <w:rsid w:val="004B4911"/>
    <w:rsid w:val="004B5713"/>
    <w:rsid w:val="004C6170"/>
    <w:rsid w:val="004D7A03"/>
    <w:rsid w:val="004F030D"/>
    <w:rsid w:val="004F0C62"/>
    <w:rsid w:val="00515047"/>
    <w:rsid w:val="0052116F"/>
    <w:rsid w:val="00521472"/>
    <w:rsid w:val="005320C5"/>
    <w:rsid w:val="00545293"/>
    <w:rsid w:val="005757A4"/>
    <w:rsid w:val="00577EC0"/>
    <w:rsid w:val="00582BB8"/>
    <w:rsid w:val="00593F85"/>
    <w:rsid w:val="0059423B"/>
    <w:rsid w:val="00597D1F"/>
    <w:rsid w:val="005A0B8E"/>
    <w:rsid w:val="005B646C"/>
    <w:rsid w:val="005F4169"/>
    <w:rsid w:val="0060034C"/>
    <w:rsid w:val="00615AB2"/>
    <w:rsid w:val="00626F54"/>
    <w:rsid w:val="006403C1"/>
    <w:rsid w:val="00646068"/>
    <w:rsid w:val="0067156B"/>
    <w:rsid w:val="00683C2F"/>
    <w:rsid w:val="00686370"/>
    <w:rsid w:val="00694A63"/>
    <w:rsid w:val="00697152"/>
    <w:rsid w:val="006A7490"/>
    <w:rsid w:val="006C64AA"/>
    <w:rsid w:val="006C78E0"/>
    <w:rsid w:val="006D41C9"/>
    <w:rsid w:val="006F27DA"/>
    <w:rsid w:val="00706FF4"/>
    <w:rsid w:val="00720ACB"/>
    <w:rsid w:val="00730323"/>
    <w:rsid w:val="00735C2F"/>
    <w:rsid w:val="00776270"/>
    <w:rsid w:val="00781904"/>
    <w:rsid w:val="00784645"/>
    <w:rsid w:val="00797C64"/>
    <w:rsid w:val="007A22D0"/>
    <w:rsid w:val="007A24F9"/>
    <w:rsid w:val="007C5D81"/>
    <w:rsid w:val="007D34FF"/>
    <w:rsid w:val="007E4AAC"/>
    <w:rsid w:val="007E6688"/>
    <w:rsid w:val="007E7DC8"/>
    <w:rsid w:val="00812131"/>
    <w:rsid w:val="008215A2"/>
    <w:rsid w:val="008233AE"/>
    <w:rsid w:val="00827918"/>
    <w:rsid w:val="0085010C"/>
    <w:rsid w:val="00862BC3"/>
    <w:rsid w:val="00871A73"/>
    <w:rsid w:val="0087472F"/>
    <w:rsid w:val="00893A98"/>
    <w:rsid w:val="008A2684"/>
    <w:rsid w:val="008A490B"/>
    <w:rsid w:val="008A6E5C"/>
    <w:rsid w:val="008B260A"/>
    <w:rsid w:val="008B317D"/>
    <w:rsid w:val="00907A32"/>
    <w:rsid w:val="00912BD7"/>
    <w:rsid w:val="00933014"/>
    <w:rsid w:val="00973BA5"/>
    <w:rsid w:val="009A4F55"/>
    <w:rsid w:val="009B60AE"/>
    <w:rsid w:val="009E4C1B"/>
    <w:rsid w:val="00A13B3B"/>
    <w:rsid w:val="00A24D7D"/>
    <w:rsid w:val="00A35ED3"/>
    <w:rsid w:val="00A771A6"/>
    <w:rsid w:val="00A84864"/>
    <w:rsid w:val="00A84BAE"/>
    <w:rsid w:val="00A87C80"/>
    <w:rsid w:val="00AA221F"/>
    <w:rsid w:val="00AA48F2"/>
    <w:rsid w:val="00AC3D50"/>
    <w:rsid w:val="00AE0F24"/>
    <w:rsid w:val="00AE21FA"/>
    <w:rsid w:val="00AE3A21"/>
    <w:rsid w:val="00AE6377"/>
    <w:rsid w:val="00AF7844"/>
    <w:rsid w:val="00B13B05"/>
    <w:rsid w:val="00B17979"/>
    <w:rsid w:val="00B26495"/>
    <w:rsid w:val="00B3218A"/>
    <w:rsid w:val="00B35B44"/>
    <w:rsid w:val="00B4106C"/>
    <w:rsid w:val="00B7052F"/>
    <w:rsid w:val="00B92653"/>
    <w:rsid w:val="00B93097"/>
    <w:rsid w:val="00B975AA"/>
    <w:rsid w:val="00BB003F"/>
    <w:rsid w:val="00BC6F0F"/>
    <w:rsid w:val="00BD628C"/>
    <w:rsid w:val="00BF0AF4"/>
    <w:rsid w:val="00C255BD"/>
    <w:rsid w:val="00C271DD"/>
    <w:rsid w:val="00C31709"/>
    <w:rsid w:val="00C32B2B"/>
    <w:rsid w:val="00C37BF2"/>
    <w:rsid w:val="00C427B4"/>
    <w:rsid w:val="00C539C8"/>
    <w:rsid w:val="00C5611E"/>
    <w:rsid w:val="00C83D95"/>
    <w:rsid w:val="00C8408F"/>
    <w:rsid w:val="00CD6B97"/>
    <w:rsid w:val="00CE21E5"/>
    <w:rsid w:val="00CE278E"/>
    <w:rsid w:val="00D12797"/>
    <w:rsid w:val="00D25013"/>
    <w:rsid w:val="00D3744C"/>
    <w:rsid w:val="00D50C3C"/>
    <w:rsid w:val="00D82B75"/>
    <w:rsid w:val="00D87CBF"/>
    <w:rsid w:val="00D96F71"/>
    <w:rsid w:val="00DA7CDA"/>
    <w:rsid w:val="00DB5E28"/>
    <w:rsid w:val="00DD1736"/>
    <w:rsid w:val="00DE6055"/>
    <w:rsid w:val="00E30D6C"/>
    <w:rsid w:val="00E434AE"/>
    <w:rsid w:val="00E467BA"/>
    <w:rsid w:val="00E741BC"/>
    <w:rsid w:val="00EB6EE3"/>
    <w:rsid w:val="00ED07A2"/>
    <w:rsid w:val="00ED5ABC"/>
    <w:rsid w:val="00EE4897"/>
    <w:rsid w:val="00EF48A8"/>
    <w:rsid w:val="00F47FE6"/>
    <w:rsid w:val="00F5243A"/>
    <w:rsid w:val="00F53FEF"/>
    <w:rsid w:val="00F66D7F"/>
    <w:rsid w:val="00F76A92"/>
    <w:rsid w:val="00F83B3C"/>
    <w:rsid w:val="00FA2DE2"/>
    <w:rsid w:val="00FD0190"/>
    <w:rsid w:val="00FD279C"/>
    <w:rsid w:val="00FD32D5"/>
    <w:rsid w:val="00FE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2531B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2531B1"/>
    <w:rPr>
      <w:vertAlign w:val="superscript"/>
    </w:rPr>
  </w:style>
  <w:style w:type="character" w:styleId="Hyperlink">
    <w:name w:val="Hyperlink"/>
    <w:basedOn w:val="DefaultParagraphFont"/>
    <w:uiPriority w:val="99"/>
    <w:rsid w:val="004F0C6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20207B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rsid w:val="00496962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4969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96962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96962"/>
    <w:rPr>
      <w:b/>
      <w:bCs/>
      <w:lang w:val="sr-Latn-CS" w:eastAsia="sr-Latn-CS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496962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rsid w:val="00496962"/>
    <w:rPr>
      <w:rFonts w:ascii="Tahoma" w:hAnsi="Tahoma"/>
      <w:sz w:val="16"/>
      <w:szCs w:val="16"/>
      <w:lang w:val="sr-Latn-CS" w:eastAsia="sr-Latn-CS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96962"/>
    <w:rPr>
      <w:rFonts w:ascii="Tahoma" w:hAnsi="Tahoma"/>
      <w:sz w:val="16"/>
    </w:rPr>
  </w:style>
  <w:style w:type="character" w:customStyle="1" w:styleId="hps">
    <w:name w:val="hps"/>
    <w:basedOn w:val="DefaultParagraphFont"/>
    <w:rsid w:val="0043302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0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6929">
              <w:marLeft w:val="3375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ecilia.wanhainen@eufic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ancefood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9AC41-ACF4-490D-807F-E73F23B3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CHANCE – 1st Press Release</vt:lpstr>
    </vt:vector>
  </TitlesOfParts>
  <Company>Eufic</Company>
  <LinksUpToDate>false</LinksUpToDate>
  <CharactersWithSpaces>5801</CharactersWithSpaces>
  <SharedDoc>false</SharedDoc>
  <HLinks>
    <vt:vector size="12" baseType="variant">
      <vt:variant>
        <vt:i4>8323076</vt:i4>
      </vt:variant>
      <vt:variant>
        <vt:i4>3</vt:i4>
      </vt:variant>
      <vt:variant>
        <vt:i4>0</vt:i4>
      </vt:variant>
      <vt:variant>
        <vt:i4>5</vt:i4>
      </vt:variant>
      <vt:variant>
        <vt:lpwstr>mailto:cecilia.wanhainen@eufic.org</vt:lpwstr>
      </vt:variant>
      <vt:variant>
        <vt:lpwstr/>
      </vt:variant>
      <vt:variant>
        <vt:i4>1572957</vt:i4>
      </vt:variant>
      <vt:variant>
        <vt:i4>0</vt:i4>
      </vt:variant>
      <vt:variant>
        <vt:i4>0</vt:i4>
      </vt:variant>
      <vt:variant>
        <vt:i4>5</vt:i4>
      </vt:variant>
      <vt:variant>
        <vt:lpwstr>http://www.chancefood.eu/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CHANCE – 1st Press Release</dc:title>
  <dc:creator>Cecilia Wanhainen</dc:creator>
  <cp:lastModifiedBy>Cecilia Wanhainen</cp:lastModifiedBy>
  <cp:revision>4</cp:revision>
  <dcterms:created xsi:type="dcterms:W3CDTF">2011-08-12T14:48:00Z</dcterms:created>
  <dcterms:modified xsi:type="dcterms:W3CDTF">2011-08-22T09:13:00Z</dcterms:modified>
</cp:coreProperties>
</file>